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80" w:rsidRPr="00A64CE9" w:rsidRDefault="00331980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Candara"/>
          <w:color w:val="FFFFFF"/>
          <w:sz w:val="15"/>
          <w:szCs w:val="15"/>
          <w:lang w:val="en-US"/>
        </w:rPr>
      </w:pPr>
      <w:r w:rsidRPr="00A64CE9">
        <w:rPr>
          <w:rFonts w:ascii="Sylfaen" w:hAnsi="Sylfaen" w:cs="Candara"/>
          <w:color w:val="FFFFFF"/>
          <w:sz w:val="15"/>
          <w:szCs w:val="15"/>
          <w:lang w:val="en-US"/>
        </w:rPr>
        <w:t>http://assembly.coe.int</w:t>
      </w:r>
    </w:p>
    <w:p w:rsidR="00331980" w:rsidRPr="00A64CE9" w:rsidRDefault="00DF2C62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color w:val="000000"/>
          <w:sz w:val="20"/>
          <w:szCs w:val="20"/>
          <w:lang w:val="hy-AM"/>
        </w:rPr>
      </w:pPr>
      <w:r w:rsidRPr="00A64CE9">
        <w:rPr>
          <w:rFonts w:ascii="Sylfaen" w:hAnsi="Sylfaen" w:cs="Arial"/>
          <w:b/>
          <w:bCs/>
          <w:color w:val="000000"/>
          <w:sz w:val="20"/>
          <w:szCs w:val="20"/>
          <w:lang w:val="hy-AM"/>
        </w:rPr>
        <w:t xml:space="preserve">Թիվ </w:t>
      </w:r>
      <w:r w:rsidR="00331980" w:rsidRPr="00A64CE9">
        <w:rPr>
          <w:rFonts w:ascii="Sylfaen" w:hAnsi="Sylfaen" w:cs="Arial"/>
          <w:b/>
          <w:bCs/>
          <w:color w:val="000000"/>
          <w:sz w:val="20"/>
          <w:szCs w:val="20"/>
          <w:lang w:val="en-US"/>
        </w:rPr>
        <w:t xml:space="preserve"> 2068 (2015)</w:t>
      </w:r>
      <w:r w:rsidR="00971E5B" w:rsidRPr="00A64CE9">
        <w:rPr>
          <w:rStyle w:val="FootnoteReference"/>
          <w:rFonts w:ascii="Sylfaen" w:hAnsi="Sylfaen" w:cs="Arial"/>
          <w:b/>
          <w:bCs/>
          <w:color w:val="000000"/>
          <w:sz w:val="16"/>
          <w:szCs w:val="16"/>
          <w:lang w:val="hy-AM"/>
        </w:rPr>
        <w:footnoteReference w:id="1"/>
      </w:r>
      <w:r w:rsidRPr="00A64CE9">
        <w:rPr>
          <w:rFonts w:ascii="Sylfaen" w:hAnsi="Sylfaen" w:cs="Arial"/>
          <w:b/>
          <w:bCs/>
          <w:color w:val="000000"/>
          <w:sz w:val="16"/>
          <w:szCs w:val="16"/>
          <w:lang w:val="hy-AM"/>
        </w:rPr>
        <w:t xml:space="preserve"> </w:t>
      </w:r>
      <w:r w:rsidRPr="00A64CE9">
        <w:rPr>
          <w:rFonts w:ascii="Sylfaen" w:hAnsi="Sylfaen" w:cs="Arial"/>
          <w:b/>
          <w:bCs/>
          <w:color w:val="000000"/>
          <w:sz w:val="20"/>
          <w:szCs w:val="20"/>
          <w:lang w:val="hy-AM"/>
        </w:rPr>
        <w:t>Հանձնարարական</w:t>
      </w:r>
    </w:p>
    <w:p w:rsidR="00DF2C62" w:rsidRPr="00A64CE9" w:rsidRDefault="00DF2C62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color w:val="000000"/>
          <w:sz w:val="16"/>
          <w:szCs w:val="16"/>
          <w:lang w:val="hy-AM"/>
        </w:rPr>
      </w:pPr>
    </w:p>
    <w:p w:rsidR="00331980" w:rsidRPr="00A64CE9" w:rsidRDefault="00DF2C62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sz w:val="20"/>
          <w:szCs w:val="20"/>
          <w:lang w:val="hy-AM"/>
        </w:rPr>
      </w:pPr>
      <w:r w:rsidRPr="00A64CE9">
        <w:rPr>
          <w:rFonts w:ascii="Sylfaen" w:hAnsi="Sylfaen" w:cs="Arial"/>
          <w:color w:val="000000"/>
          <w:sz w:val="20"/>
          <w:szCs w:val="20"/>
          <w:lang w:val="hy-AM"/>
        </w:rPr>
        <w:t>Նախնական տարբերակ</w:t>
      </w:r>
    </w:p>
    <w:p w:rsidR="00DF2C62" w:rsidRPr="00A64CE9" w:rsidRDefault="00DF2C62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b/>
          <w:bCs/>
          <w:color w:val="000000"/>
          <w:sz w:val="32"/>
          <w:szCs w:val="32"/>
          <w:lang w:val="hy-AM"/>
        </w:rPr>
      </w:pPr>
    </w:p>
    <w:p w:rsidR="00331980" w:rsidRPr="00CE0A3D" w:rsidRDefault="00DF2C62" w:rsidP="00CE0A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color w:val="000000"/>
          <w:sz w:val="28"/>
          <w:szCs w:val="28"/>
          <w:lang w:val="hy-AM"/>
        </w:rPr>
      </w:pP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Սոցիալական ծառայությունները Եվրոպայում</w:t>
      </w:r>
      <w:r w:rsidR="0094384F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.</w:t>
      </w: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 </w:t>
      </w:r>
      <w:r w:rsidR="009310C8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Եվրոպայի խորհրդի անդամ պետություններում </w:t>
      </w:r>
      <w:r w:rsidR="00E46157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երեխաների</w:t>
      </w:r>
      <w:r w:rsidR="0094384F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`</w:t>
      </w:r>
      <w:r w:rsidR="00E46157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 </w:t>
      </w: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իրենց ընտանիքներից </w:t>
      </w:r>
      <w:r w:rsidR="0094384F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հեռացման</w:t>
      </w: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 վերաբերյալ օրենսդրություն</w:t>
      </w:r>
      <w:r w:rsidR="00383890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ը</w:t>
      </w: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 և գործելակերպ</w:t>
      </w:r>
      <w:r w:rsidR="00383890"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>ը</w:t>
      </w:r>
      <w:r w:rsidRPr="00CE0A3D">
        <w:rPr>
          <w:rFonts w:ascii="Sylfaen" w:hAnsi="Sylfaen" w:cs="Arial"/>
          <w:b/>
          <w:bCs/>
          <w:color w:val="000000"/>
          <w:sz w:val="28"/>
          <w:szCs w:val="28"/>
          <w:lang w:val="hy-AM"/>
        </w:rPr>
        <w:t xml:space="preserve">  </w:t>
      </w:r>
    </w:p>
    <w:p w:rsidR="009310C8" w:rsidRPr="00E46157" w:rsidRDefault="009310C8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sz w:val="20"/>
          <w:szCs w:val="20"/>
          <w:lang w:val="hy-AM"/>
        </w:rPr>
      </w:pPr>
    </w:p>
    <w:p w:rsidR="00331980" w:rsidRPr="00A64CE9" w:rsidRDefault="00DF2C62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sz w:val="20"/>
          <w:szCs w:val="20"/>
          <w:lang w:val="hy-AM"/>
        </w:rPr>
      </w:pPr>
      <w:r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Խորհրդարանական վեհաժողով </w:t>
      </w:r>
    </w:p>
    <w:p w:rsidR="00383890" w:rsidRPr="00A64CE9" w:rsidRDefault="00383890" w:rsidP="00331980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color w:val="000000"/>
          <w:sz w:val="20"/>
          <w:szCs w:val="20"/>
          <w:lang w:val="hy-AM"/>
        </w:rPr>
      </w:pPr>
    </w:p>
    <w:p w:rsidR="00CE0A3D" w:rsidRDefault="00331980" w:rsidP="008B78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en-US"/>
        </w:rPr>
      </w:pPr>
      <w:r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1. 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>Խորհրդարանական վեհաժողովը մտահոգված է երեխաների իրավունքների ոտնահարմամբ</w:t>
      </w:r>
      <w:r w:rsidR="00896171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 ինչը  թե՛ անդամ Պետություններում նրանց </w:t>
      </w:r>
      <w:r w:rsidR="00383890" w:rsidRPr="00E46157">
        <w:rPr>
          <w:rFonts w:ascii="Sylfaen" w:hAnsi="Sylfaen" w:cs="Arial"/>
          <w:color w:val="000000"/>
          <w:sz w:val="20"/>
          <w:szCs w:val="20"/>
          <w:lang w:val="hy-AM"/>
        </w:rPr>
        <w:t>ծնողական խնամքից</w:t>
      </w:r>
      <w:r w:rsidR="00383890"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 հեռացման</w:t>
      </w:r>
      <w:r w:rsidR="00383890"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>(կամ</w:t>
      </w:r>
      <w:r w:rsidR="00383890"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proofErr w:type="spellStart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>ծնողական</w:t>
      </w:r>
      <w:proofErr w:type="spellEnd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383890" w:rsidRPr="00A64CE9">
        <w:rPr>
          <w:rFonts w:ascii="Sylfaen" w:hAnsi="Sylfaen" w:cs="Arial"/>
          <w:color w:val="000000"/>
          <w:sz w:val="20"/>
          <w:szCs w:val="20"/>
          <w:lang w:val="hy-AM"/>
        </w:rPr>
        <w:t>խնամքին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proofErr w:type="spellStart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>հետ</w:t>
      </w:r>
      <w:proofErr w:type="spellEnd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383890" w:rsidRPr="008B78FF">
        <w:rPr>
          <w:rFonts w:ascii="Sylfaen" w:hAnsi="Sylfaen" w:cs="Arial"/>
          <w:color w:val="000000"/>
          <w:sz w:val="20"/>
          <w:szCs w:val="20"/>
          <w:lang w:val="hy-AM"/>
        </w:rPr>
        <w:t>վերադարձման</w:t>
      </w:r>
      <w:r w:rsidR="00896171" w:rsidRPr="008B78FF">
        <w:rPr>
          <w:rFonts w:ascii="Sylfaen" w:hAnsi="Sylfaen" w:cs="Arial"/>
          <w:color w:val="000000"/>
          <w:sz w:val="20"/>
          <w:szCs w:val="20"/>
          <w:lang w:val="hy-AM"/>
        </w:rPr>
        <w:t>) և թե՛ անդամ Պետություններու</w:t>
      </w:r>
      <w:r w:rsidR="00383890" w:rsidRPr="008B78FF">
        <w:rPr>
          <w:rFonts w:ascii="Sylfaen" w:hAnsi="Sylfaen" w:cs="Arial"/>
          <w:color w:val="000000"/>
          <w:sz w:val="20"/>
          <w:szCs w:val="20"/>
          <w:lang w:val="hy-AM"/>
        </w:rPr>
        <w:t>մ</w:t>
      </w:r>
      <w:r w:rsidR="00896171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CE0A3D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նրանց </w:t>
      </w:r>
      <w:r w:rsidR="009310C8" w:rsidRPr="008B78FF">
        <w:rPr>
          <w:rFonts w:ascii="Sylfaen" w:hAnsi="Sylfaen" w:cs="Arial"/>
          <w:color w:val="000000"/>
          <w:sz w:val="20"/>
          <w:szCs w:val="20"/>
          <w:lang w:val="hy-AM"/>
        </w:rPr>
        <w:t>ծնողական խնամքի</w:t>
      </w:r>
      <w:r w:rsidR="00CE0A3D">
        <w:rPr>
          <w:rFonts w:ascii="Sylfaen" w:hAnsi="Sylfaen" w:cs="Arial"/>
          <w:color w:val="000000"/>
          <w:sz w:val="20"/>
          <w:szCs w:val="20"/>
          <w:lang w:val="en-US"/>
        </w:rPr>
        <w:t xml:space="preserve">ն </w:t>
      </w:r>
      <w:proofErr w:type="spellStart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>նրանց</w:t>
      </w:r>
      <w:proofErr w:type="spellEnd"/>
      <w:r w:rsidR="009310C8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proofErr w:type="spellStart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>թողնելու</w:t>
      </w:r>
      <w:proofErr w:type="spellEnd"/>
      <w:r w:rsidR="00CE0A3D">
        <w:rPr>
          <w:rFonts w:ascii="Sylfaen" w:hAnsi="Sylfaen" w:cs="Arial"/>
          <w:color w:val="000000"/>
          <w:sz w:val="20"/>
          <w:szCs w:val="20"/>
          <w:lang w:val="en-US"/>
        </w:rPr>
        <w:t>/չ</w:t>
      </w:r>
      <w:r w:rsidR="009310C8" w:rsidRPr="008B78FF">
        <w:rPr>
          <w:rFonts w:ascii="Sylfaen" w:hAnsi="Sylfaen" w:cs="Arial"/>
          <w:color w:val="000000"/>
          <w:sz w:val="20"/>
          <w:szCs w:val="20"/>
          <w:lang w:val="hy-AM"/>
        </w:rPr>
        <w:t>հեռացման (կամ</w:t>
      </w:r>
      <w:r w:rsidR="009310C8"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proofErr w:type="spellStart"/>
      <w:r w:rsidR="00C05750">
        <w:rPr>
          <w:rFonts w:ascii="Sylfaen" w:hAnsi="Sylfaen" w:cs="Arial"/>
          <w:color w:val="000000"/>
          <w:sz w:val="20"/>
          <w:szCs w:val="20"/>
          <w:lang w:val="en-US"/>
        </w:rPr>
        <w:t>ժամանակից</w:t>
      </w:r>
      <w:proofErr w:type="spellEnd"/>
      <w:r w:rsidR="009310C8"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 շուտ ծնողական խնամքին հետ վերադարձման) մասին 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>կայացված անհիմն որոշումների</w:t>
      </w:r>
      <w:r w:rsidR="009310C8"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 մաս է կազմում</w:t>
      </w:r>
      <w:r w:rsidR="00896171" w:rsidRPr="00E46157">
        <w:rPr>
          <w:rFonts w:ascii="Sylfaen" w:hAnsi="Sylfaen" w:cs="Arial"/>
          <w:color w:val="000000"/>
          <w:sz w:val="20"/>
          <w:szCs w:val="20"/>
          <w:lang w:val="hy-AM"/>
        </w:rPr>
        <w:t xml:space="preserve">։ 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>Վեհաժողովը   գտնում  է</w:t>
      </w:r>
      <w:r w:rsidR="00896171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որ երեխաների իրավունքներն ու նրանց լավագույն շահը պետք է ավելի լավ պաշտպանվեն այս դեպքերում</w:t>
      </w:r>
      <w:r w:rsidR="00896171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ինչպես նշված է </w:t>
      </w:r>
      <w:r w:rsidR="00896171" w:rsidRPr="00A64CE9">
        <w:rPr>
          <w:rFonts w:ascii="Sylfaen" w:hAnsi="Sylfaen" w:cs="Arial"/>
          <w:color w:val="000000"/>
          <w:sz w:val="20"/>
          <w:szCs w:val="20"/>
          <w:lang w:val="hy-AM"/>
        </w:rPr>
        <w:t>«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>Սոցիալական ծառայությունները Եվրոպայում. Եվրոպայի խորհրդի անդամ պետություններում իրենց ընտանիքներից երեխաների հեռացման վերաբերյալ օրենսդրությ</w:t>
      </w:r>
      <w:r w:rsidR="00A64CE9" w:rsidRPr="00A64CE9">
        <w:rPr>
          <w:rFonts w:ascii="Sylfaen" w:hAnsi="Sylfaen" w:cs="Arial"/>
          <w:color w:val="000000"/>
          <w:sz w:val="20"/>
          <w:szCs w:val="20"/>
          <w:lang w:val="hy-AM"/>
        </w:rPr>
        <w:t>ան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և գործելակերպ</w:t>
      </w:r>
      <w:r w:rsidR="00A64CE9" w:rsidRPr="00A64CE9">
        <w:rPr>
          <w:rFonts w:ascii="Sylfaen" w:hAnsi="Sylfaen" w:cs="Arial"/>
          <w:color w:val="000000"/>
          <w:sz w:val="20"/>
          <w:szCs w:val="20"/>
          <w:lang w:val="hy-AM"/>
        </w:rPr>
        <w:t>ի մասին</w:t>
      </w:r>
      <w:r w:rsidR="00896171" w:rsidRPr="00A64CE9">
        <w:rPr>
          <w:rFonts w:ascii="Sylfaen" w:hAnsi="Sylfaen" w:cs="Arial"/>
          <w:color w:val="000000"/>
          <w:sz w:val="20"/>
          <w:szCs w:val="20"/>
          <w:lang w:val="hy-AM"/>
        </w:rPr>
        <w:t>»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DC6311">
        <w:rPr>
          <w:rFonts w:ascii="Sylfaen" w:hAnsi="Sylfaen" w:cs="Arial"/>
          <w:color w:val="000000"/>
          <w:sz w:val="20"/>
          <w:szCs w:val="20"/>
          <w:lang w:val="hy-AM"/>
        </w:rPr>
        <w:t>թ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իվ 2049 </w:t>
      </w:r>
      <w:r w:rsidR="00A64CE9" w:rsidRPr="00A64CE9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="0094384F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անաձևում։  </w:t>
      </w:r>
    </w:p>
    <w:p w:rsidR="0094384F" w:rsidRPr="008B78FF" w:rsidRDefault="0094384F" w:rsidP="008B78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:rsidR="0094384F" w:rsidRPr="008B78FF" w:rsidRDefault="0094384F" w:rsidP="008B78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2. Վեհաժողովը ողջունում է Նախարարների կոմիտեի</w:t>
      </w:r>
      <w:r w:rsidR="00CC6D32" w:rsidRPr="00CC6D32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CC6D32" w:rsidRPr="0094384F">
        <w:rPr>
          <w:rFonts w:ascii="Sylfaen" w:hAnsi="Sylfaen" w:cs="Arial"/>
          <w:color w:val="000000"/>
          <w:sz w:val="20"/>
          <w:szCs w:val="20"/>
          <w:lang w:val="hy-AM"/>
        </w:rPr>
        <w:t>հանձնառությունը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՝ </w:t>
      </w:r>
      <w:r w:rsidR="002B4F1D" w:rsidRPr="0094384F">
        <w:rPr>
          <w:rFonts w:ascii="Sylfaen" w:hAnsi="Sylfaen" w:cs="Arial"/>
          <w:color w:val="000000"/>
          <w:sz w:val="20"/>
          <w:szCs w:val="20"/>
          <w:lang w:val="hy-AM"/>
        </w:rPr>
        <w:t>խթան</w:t>
      </w:r>
      <w:r w:rsidR="002B4F1D">
        <w:rPr>
          <w:rFonts w:ascii="Sylfaen" w:hAnsi="Sylfaen" w:cs="Arial"/>
          <w:color w:val="000000"/>
          <w:sz w:val="20"/>
          <w:szCs w:val="20"/>
          <w:lang w:val="en-US"/>
        </w:rPr>
        <w:t xml:space="preserve">ելու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այս ոլորտում երեխաների </w:t>
      </w:r>
      <w:r w:rsidR="002B4F1D" w:rsidRPr="008B78FF">
        <w:rPr>
          <w:rFonts w:ascii="Sylfaen" w:hAnsi="Sylfaen" w:cs="Arial"/>
          <w:color w:val="000000"/>
          <w:sz w:val="20"/>
          <w:szCs w:val="20"/>
          <w:lang w:val="hy-AM"/>
        </w:rPr>
        <w:t>իրավունքներ</w:t>
      </w:r>
      <w:r w:rsidR="002B4F1D">
        <w:rPr>
          <w:rFonts w:ascii="Sylfaen" w:hAnsi="Sylfaen" w:cs="Arial"/>
          <w:color w:val="000000"/>
          <w:sz w:val="20"/>
          <w:szCs w:val="20"/>
          <w:lang w:val="en-US"/>
        </w:rPr>
        <w:t>ը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, այդ թվում</w:t>
      </w:r>
      <w:r w:rsidR="00DC6311">
        <w:rPr>
          <w:rFonts w:ascii="Sylfaen" w:hAnsi="Sylfaen" w:cs="Arial"/>
          <w:color w:val="000000"/>
          <w:sz w:val="20"/>
          <w:szCs w:val="20"/>
          <w:lang w:val="hy-AM"/>
        </w:rPr>
        <w:t>՝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նաև «Հանուն երեխայի իրավունքների Եվրոպայի խորհրդի ընթացիկ բազմամյա (2012-2015թ.) ռազմավարության» միջոցով։ Այն առաջարկում է Նախարարների կոմիտեին հանձնարարել</w:t>
      </w:r>
      <w:r w:rsidR="0044197A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Հանուն երեխայի իրավունքների Եվրոպայի խորհրդի ռազմավարության (2016-2019թթ.) </w:t>
      </w:r>
      <w:r w:rsidR="00DC6311">
        <w:rPr>
          <w:rFonts w:ascii="Sylfaen" w:hAnsi="Sylfaen" w:cs="Arial"/>
          <w:color w:val="000000"/>
          <w:sz w:val="20"/>
          <w:szCs w:val="20"/>
          <w:lang w:val="hy-AM"/>
        </w:rPr>
        <w:t>փ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որձագետների խմբին (DECS-ENF)</w:t>
      </w:r>
      <w:r w:rsidR="0044197A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հետևյալը՝</w:t>
      </w:r>
    </w:p>
    <w:p w:rsidR="0094384F" w:rsidRPr="008B78FF" w:rsidRDefault="0094384F" w:rsidP="008B78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2.1. ծնողական խնամքից հեռաց</w:t>
      </w:r>
      <w:r w:rsidR="00A64CE9" w:rsidRPr="00A64CE9">
        <w:rPr>
          <w:rFonts w:ascii="Sylfaen" w:hAnsi="Sylfaen" w:cs="Arial"/>
          <w:color w:val="000000"/>
          <w:sz w:val="20"/>
          <w:szCs w:val="20"/>
          <w:lang w:val="hy-AM"/>
        </w:rPr>
        <w:t>ման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վերաբերյալ որոշումներում երեխաների իրավունքները հարգելու խնդիրը</w:t>
      </w:r>
      <w:r w:rsidR="0044197A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350583">
        <w:rPr>
          <w:rFonts w:ascii="Sylfaen" w:hAnsi="Sylfaen" w:cs="Arial"/>
          <w:color w:val="000000"/>
          <w:sz w:val="20"/>
          <w:szCs w:val="20"/>
          <w:lang w:val="hy-AM"/>
        </w:rPr>
        <w:t>ն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երառել </w:t>
      </w:r>
      <w:r w:rsidR="0044197A" w:rsidRPr="008B78FF">
        <w:rPr>
          <w:rFonts w:ascii="Sylfaen" w:hAnsi="Sylfaen" w:cs="Arial"/>
          <w:color w:val="000000"/>
          <w:sz w:val="20"/>
          <w:szCs w:val="20"/>
          <w:lang w:val="hy-AM"/>
        </w:rPr>
        <w:t>«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Հանուն երեխայի իրավունքների Եվրոպայի խորհրդի 2016-2019թթ. ռազմավարությունում</w:t>
      </w:r>
      <w:r w:rsidR="0044197A" w:rsidRPr="008B78FF">
        <w:rPr>
          <w:rFonts w:ascii="Sylfaen" w:hAnsi="Sylfaen" w:cs="Arial"/>
          <w:color w:val="000000"/>
          <w:sz w:val="20"/>
          <w:szCs w:val="20"/>
          <w:lang w:val="hy-AM"/>
        </w:rPr>
        <w:t>»</w:t>
      </w:r>
      <w:r w:rsidR="002B4F1D">
        <w:rPr>
          <w:rFonts w:ascii="Sylfaen" w:hAnsi="Sylfaen" w:cs="Arial"/>
          <w:color w:val="000000"/>
          <w:sz w:val="20"/>
          <w:szCs w:val="20"/>
          <w:lang w:val="en-US"/>
        </w:rPr>
        <w:t>,</w:t>
      </w:r>
      <w:r w:rsidR="002B4F1D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  </w:t>
      </w:r>
    </w:p>
    <w:p w:rsidR="00CD20D5" w:rsidRPr="008B78FF" w:rsidRDefault="0094384F" w:rsidP="008B78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2.2. </w:t>
      </w:r>
      <w:r w:rsidR="002B4F1D">
        <w:rPr>
          <w:rFonts w:ascii="Sylfaen" w:hAnsi="Sylfaen" w:cs="Arial"/>
          <w:color w:val="000000"/>
          <w:sz w:val="20"/>
          <w:szCs w:val="20"/>
          <w:lang w:val="en-US"/>
        </w:rPr>
        <w:t>հ</w:t>
      </w:r>
      <w:r w:rsidR="002B4F1D"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իմնվել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ՄԱԿ-ի Երեխայի իրավունքների մասին կոնվենցիայի</w:t>
      </w:r>
      <w:r w:rsidR="001E355B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ՄԱԿ-ի Գլխավոր Ասամբլեայի </w:t>
      </w:r>
      <w:r w:rsidR="00A64CE9" w:rsidRPr="0044197A">
        <w:rPr>
          <w:rFonts w:ascii="Sylfaen" w:hAnsi="Sylfaen" w:cs="Arial"/>
          <w:color w:val="000000"/>
          <w:sz w:val="20"/>
          <w:szCs w:val="20"/>
          <w:lang w:val="hy-AM"/>
        </w:rPr>
        <w:t>«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>Երեխաների այլընտրանքային խնամքի ուղենիշներ</w:t>
      </w:r>
      <w:r w:rsidR="00A64CE9" w:rsidRPr="0044197A">
        <w:rPr>
          <w:rFonts w:ascii="Sylfaen" w:hAnsi="Sylfaen" w:cs="Arial"/>
          <w:color w:val="000000"/>
          <w:sz w:val="20"/>
          <w:szCs w:val="20"/>
          <w:lang w:val="hy-AM"/>
        </w:rPr>
        <w:t xml:space="preserve">» վերնագրով </w:t>
      </w:r>
      <w:r w:rsidR="00350583" w:rsidRPr="0044197A">
        <w:rPr>
          <w:rFonts w:ascii="Sylfaen" w:hAnsi="Sylfaen" w:cs="Arial"/>
          <w:color w:val="000000"/>
          <w:sz w:val="20"/>
          <w:szCs w:val="20"/>
          <w:lang w:val="hy-AM"/>
        </w:rPr>
        <w:t>թ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 xml:space="preserve">իվ 2010 A/RES/64/142 </w:t>
      </w:r>
      <w:r w:rsidR="00A64CE9" w:rsidRPr="0044197A">
        <w:rPr>
          <w:rFonts w:ascii="Sylfaen" w:hAnsi="Sylfaen" w:cs="Arial"/>
          <w:color w:val="000000"/>
          <w:sz w:val="20"/>
          <w:szCs w:val="20"/>
          <w:lang w:val="hy-AM"/>
        </w:rPr>
        <w:t>բ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 xml:space="preserve">անաձևի,  </w:t>
      </w:r>
      <w:r w:rsidR="00A64CE9" w:rsidRPr="0044197A">
        <w:rPr>
          <w:rFonts w:ascii="Sylfaen" w:hAnsi="Sylfaen" w:cs="Arial"/>
          <w:color w:val="000000"/>
          <w:sz w:val="20"/>
          <w:szCs w:val="20"/>
          <w:lang w:val="hy-AM"/>
        </w:rPr>
        <w:t>Ե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>րեխաների իրավունքների և երեխաների ու ընտանիքների</w:t>
      </w:r>
      <w:r w:rsidR="008B78FF" w:rsidRPr="0044197A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="008B78FF" w:rsidRPr="0044197A">
        <w:rPr>
          <w:rFonts w:ascii="Sylfaen" w:hAnsi="Sylfaen" w:cs="Arial"/>
          <w:color w:val="000000"/>
          <w:sz w:val="20"/>
          <w:szCs w:val="20"/>
          <w:lang w:val="hy-AM"/>
        </w:rPr>
        <w:t xml:space="preserve">համար տրամադրված երեխայանպաստ և ընտանիքամետ 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>սոցիալական ծառայությունների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վե</w:t>
      </w:r>
      <w:r w:rsidRPr="0044197A">
        <w:rPr>
          <w:rFonts w:ascii="Sylfaen" w:hAnsi="Sylfaen" w:cs="Arial"/>
          <w:color w:val="000000"/>
          <w:sz w:val="20"/>
          <w:szCs w:val="20"/>
          <w:lang w:val="hy-AM"/>
        </w:rPr>
        <w:t>րաբե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րյալ Նախարարների կոմիտեի </w:t>
      </w:r>
      <w:r w:rsidR="00350583">
        <w:rPr>
          <w:rFonts w:ascii="Sylfaen" w:hAnsi="Sylfaen" w:cs="Arial"/>
          <w:color w:val="000000"/>
          <w:sz w:val="20"/>
          <w:szCs w:val="20"/>
          <w:lang w:val="hy-AM"/>
        </w:rPr>
        <w:t>թ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իվ (2011)12 </w:t>
      </w:r>
      <w:r w:rsidR="008B78FF">
        <w:rPr>
          <w:rFonts w:ascii="Sylfaen" w:hAnsi="Sylfaen" w:cs="Arial"/>
          <w:color w:val="000000"/>
          <w:sz w:val="20"/>
          <w:szCs w:val="20"/>
          <w:lang w:val="hy-AM"/>
        </w:rPr>
        <w:t>բանաձև</w:t>
      </w:r>
      <w:bookmarkStart w:id="0" w:name="_GoBack"/>
      <w:bookmarkEnd w:id="0"/>
      <w:r w:rsidR="00350583">
        <w:rPr>
          <w:rFonts w:ascii="Sylfaen" w:hAnsi="Sylfaen" w:cs="Arial"/>
          <w:color w:val="000000"/>
          <w:sz w:val="20"/>
          <w:szCs w:val="20"/>
          <w:lang w:val="hy-AM"/>
        </w:rPr>
        <w:t>ի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(CM/Rec (2011)12)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ՄԱԿ-ի Երեխայի իրավունքների կոմիտեի</w:t>
      </w:r>
      <w:r w:rsidR="0044197A">
        <w:rPr>
          <w:rFonts w:ascii="Sylfaen" w:hAnsi="Sylfaen" w:cs="Arial"/>
          <w:color w:val="000000"/>
          <w:sz w:val="20"/>
          <w:szCs w:val="20"/>
          <w:lang w:val="en-US"/>
        </w:rPr>
        <w:t xml:space="preserve">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թիվ. 14 (2013) Ընդհանուր մեկնաբանության վրա</w:t>
      </w:r>
      <w:r w:rsidR="008B78FF">
        <w:rPr>
          <w:rFonts w:ascii="Sylfaen" w:hAnsi="Sylfaen" w:cs="Arial"/>
          <w:color w:val="000000"/>
          <w:sz w:val="20"/>
          <w:szCs w:val="20"/>
          <w:lang w:val="en-US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որպեսզի առաջնահերթորեն նկատի առնվեն </w:t>
      </w:r>
      <w:r w:rsid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երեխաների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լավագույն շահերը  և 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«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Ինստիտուցիոնալ խնամքից համայնքակենտրոն խնամքի անցնելու վերաբերյալ </w:t>
      </w:r>
      <w:r w:rsidR="00CC376D">
        <w:rPr>
          <w:rFonts w:ascii="Sylfaen" w:hAnsi="Sylfaen" w:cs="Arial"/>
          <w:color w:val="000000"/>
          <w:sz w:val="20"/>
          <w:szCs w:val="20"/>
          <w:lang w:val="hy-AM"/>
        </w:rPr>
        <w:t>ը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նդհանուր եվրոպական ուղենիշների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»</w:t>
      </w:r>
      <w:r w:rsidR="002B256A">
        <w:rPr>
          <w:rFonts w:ascii="Sylfaen" w:hAnsi="Sylfaen" w:cs="Arial"/>
          <w:color w:val="000000"/>
          <w:sz w:val="20"/>
          <w:szCs w:val="20"/>
          <w:lang w:val="hy-AM"/>
        </w:rPr>
        <w:t xml:space="preserve"> վրա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՝ մշակելու քաղաքական ուղենիշներ անդամ պետությունների համար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թե ինչպես խուսափել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 xml:space="preserve">,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բացառությամբ բացառիկ հանգամանքների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2B256A">
        <w:rPr>
          <w:rFonts w:ascii="Sylfaen" w:hAnsi="Sylfaen" w:cs="Arial"/>
          <w:color w:val="000000"/>
          <w:sz w:val="20"/>
          <w:szCs w:val="20"/>
          <w:lang w:val="hy-AM"/>
        </w:rPr>
        <w:t>ը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նտանեկան կապերը լիովին խզելուց</w:t>
      </w:r>
      <w:r w:rsidR="003610A6" w:rsidRPr="00A64CE9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երեխաների ծնվելուց </w:t>
      </w:r>
      <w:r w:rsidR="00865FE3">
        <w:rPr>
          <w:rFonts w:ascii="Sylfaen" w:hAnsi="Sylfaen" w:cs="Arial"/>
          <w:color w:val="000000"/>
          <w:sz w:val="20"/>
          <w:szCs w:val="20"/>
          <w:lang w:val="hy-AM"/>
        </w:rPr>
        <w:t xml:space="preserve">անմիջապես 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հետո ծնողական խնամքից </w:t>
      </w:r>
      <w:r w:rsidR="00A64CE9">
        <w:rPr>
          <w:rFonts w:ascii="Sylfaen" w:hAnsi="Sylfaen" w:cs="Arial"/>
          <w:color w:val="000000"/>
          <w:sz w:val="20"/>
          <w:szCs w:val="20"/>
          <w:lang w:val="hy-AM"/>
        </w:rPr>
        <w:t>հեռացնելուց</w:t>
      </w:r>
      <w:r w:rsidR="00B455A8" w:rsidRPr="008B78FF">
        <w:rPr>
          <w:rFonts w:ascii="Sylfaen" w:hAnsi="Sylfaen" w:cs="Arial"/>
          <w:color w:val="000000"/>
          <w:sz w:val="20"/>
          <w:szCs w:val="20"/>
          <w:lang w:val="hy-AM"/>
        </w:rPr>
        <w:t>,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 xml:space="preserve"> տեղավորման վերաբերյալ որոշումները վաղեմության ժամկետով հիմնավորելուց և առանց ծնողների համաձայնության </w:t>
      </w:r>
      <w:r w:rsidR="00A64CE9" w:rsidRPr="008B78FF">
        <w:rPr>
          <w:rFonts w:ascii="Sylfaen" w:hAnsi="Sylfaen" w:cs="Arial"/>
          <w:color w:val="000000"/>
          <w:sz w:val="20"/>
          <w:szCs w:val="20"/>
          <w:lang w:val="hy-AM"/>
        </w:rPr>
        <w:t>որդեգրումից</w:t>
      </w:r>
      <w:r w:rsidRPr="008B78FF">
        <w:rPr>
          <w:rFonts w:ascii="Sylfaen" w:hAnsi="Sylfaen" w:cs="Arial"/>
          <w:color w:val="000000"/>
          <w:sz w:val="20"/>
          <w:szCs w:val="20"/>
          <w:lang w:val="hy-AM"/>
        </w:rPr>
        <w:t>։</w:t>
      </w:r>
    </w:p>
    <w:sectPr w:rsidR="00CD20D5" w:rsidRPr="008B78FF" w:rsidSect="009E6D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AA" w:rsidRDefault="006147AA" w:rsidP="00CD20D5">
      <w:pPr>
        <w:spacing w:after="0" w:line="240" w:lineRule="auto"/>
      </w:pPr>
      <w:r>
        <w:separator/>
      </w:r>
    </w:p>
  </w:endnote>
  <w:endnote w:type="continuationSeparator" w:id="0">
    <w:p w:rsidR="006147AA" w:rsidRDefault="006147AA" w:rsidP="00CD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11" w:rsidRDefault="00DC6311" w:rsidP="00CE0A3D">
    <w:pPr>
      <w:shd w:val="clear" w:color="auto" w:fill="808080" w:themeFill="background1" w:themeFillShade="8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  <w:lang w:val="en-US"/>
      </w:rPr>
      <w:t>F - 67075 Strasbourg Cedex | assembly@coe.int | Tel: +33 3 88 41 2000 | Fax: +33 3 88 41 2733</w:t>
    </w:r>
  </w:p>
  <w:p w:rsidR="00DC6311" w:rsidRDefault="00DC6311">
    <w:pPr>
      <w:pStyle w:val="Footer"/>
    </w:pPr>
  </w:p>
  <w:p w:rsidR="00DC6311" w:rsidRDefault="00DC6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AA" w:rsidRDefault="006147AA" w:rsidP="00CD20D5">
      <w:pPr>
        <w:spacing w:after="0" w:line="240" w:lineRule="auto"/>
      </w:pPr>
      <w:r>
        <w:separator/>
      </w:r>
    </w:p>
  </w:footnote>
  <w:footnote w:type="continuationSeparator" w:id="0">
    <w:p w:rsidR="006147AA" w:rsidRDefault="006147AA" w:rsidP="00CD20D5">
      <w:pPr>
        <w:spacing w:after="0" w:line="240" w:lineRule="auto"/>
      </w:pPr>
      <w:r>
        <w:continuationSeparator/>
      </w:r>
    </w:p>
  </w:footnote>
  <w:footnote w:id="1">
    <w:p w:rsidR="00DC6311" w:rsidRPr="00971E5B" w:rsidRDefault="00DC6311" w:rsidP="0044197A">
      <w:pPr>
        <w:pStyle w:val="FootnoteText"/>
        <w:jc w:val="both"/>
        <w:rPr>
          <w:rFonts w:ascii="Sylfaen" w:hAnsi="Sylfaen"/>
          <w:sz w:val="16"/>
          <w:szCs w:val="16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971E5B">
        <w:rPr>
          <w:rFonts w:ascii="Sylfaen" w:hAnsi="Sylfaen" w:cs="Sylfaen"/>
          <w:sz w:val="16"/>
          <w:szCs w:val="16"/>
        </w:rPr>
        <w:t>Վեհաժողովի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քննարկումը</w:t>
      </w:r>
      <w:r w:rsidRPr="00971E5B">
        <w:rPr>
          <w:sz w:val="16"/>
          <w:szCs w:val="16"/>
        </w:rPr>
        <w:t xml:space="preserve"> 2015</w:t>
      </w:r>
      <w:r w:rsidRPr="00971E5B">
        <w:rPr>
          <w:rFonts w:ascii="Sylfaen" w:hAnsi="Sylfaen" w:cs="Sylfaen"/>
          <w:sz w:val="16"/>
          <w:szCs w:val="16"/>
        </w:rPr>
        <w:t>թ</w:t>
      </w:r>
      <w:r w:rsidRPr="00971E5B">
        <w:rPr>
          <w:sz w:val="16"/>
          <w:szCs w:val="16"/>
        </w:rPr>
        <w:t xml:space="preserve">. </w:t>
      </w:r>
      <w:r w:rsidRPr="00971E5B">
        <w:rPr>
          <w:rFonts w:ascii="Sylfaen" w:hAnsi="Sylfaen" w:cs="Sylfaen"/>
          <w:sz w:val="16"/>
          <w:szCs w:val="16"/>
        </w:rPr>
        <w:t>ապրիլի</w:t>
      </w:r>
      <w:r w:rsidRPr="00971E5B">
        <w:rPr>
          <w:sz w:val="16"/>
          <w:szCs w:val="16"/>
        </w:rPr>
        <w:t xml:space="preserve"> 22-</w:t>
      </w:r>
      <w:r w:rsidRPr="00971E5B">
        <w:rPr>
          <w:rFonts w:ascii="Sylfaen" w:hAnsi="Sylfaen" w:cs="Sylfaen"/>
          <w:sz w:val="16"/>
          <w:szCs w:val="16"/>
        </w:rPr>
        <w:t>ին</w:t>
      </w:r>
      <w:r w:rsidRPr="00971E5B">
        <w:rPr>
          <w:sz w:val="16"/>
          <w:szCs w:val="16"/>
        </w:rPr>
        <w:t xml:space="preserve"> (15-</w:t>
      </w:r>
      <w:r w:rsidRPr="00971E5B">
        <w:rPr>
          <w:rFonts w:ascii="Sylfaen" w:hAnsi="Sylfaen" w:cs="Sylfaen"/>
          <w:sz w:val="16"/>
          <w:szCs w:val="16"/>
        </w:rPr>
        <w:t>րդ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նստաշրջան</w:t>
      </w:r>
      <w:r w:rsidRPr="00971E5B">
        <w:rPr>
          <w:sz w:val="16"/>
          <w:szCs w:val="16"/>
        </w:rPr>
        <w:t>) (</w:t>
      </w:r>
      <w:r w:rsidRPr="00971E5B">
        <w:rPr>
          <w:rFonts w:ascii="Sylfaen" w:hAnsi="Sylfaen" w:cs="Sylfaen"/>
          <w:sz w:val="16"/>
          <w:szCs w:val="16"/>
        </w:rPr>
        <w:t>տե</w:t>
      </w:r>
      <w:r w:rsidR="00BE113C">
        <w:rPr>
          <w:rFonts w:ascii="Sylfaen" w:hAnsi="Sylfaen" w:cs="Sylfaen"/>
          <w:sz w:val="16"/>
          <w:szCs w:val="16"/>
          <w:lang w:val="hy-AM"/>
        </w:rPr>
        <w:t>՛</w:t>
      </w:r>
      <w:r w:rsidRPr="00971E5B">
        <w:rPr>
          <w:rFonts w:ascii="Sylfaen" w:hAnsi="Sylfaen" w:cs="Sylfaen"/>
          <w:sz w:val="16"/>
          <w:szCs w:val="16"/>
        </w:rPr>
        <w:t>ս</w:t>
      </w:r>
      <w:r w:rsidRPr="00971E5B">
        <w:rPr>
          <w:sz w:val="16"/>
          <w:szCs w:val="16"/>
        </w:rPr>
        <w:t xml:space="preserve">  </w:t>
      </w:r>
      <w:r w:rsidR="00BE113C">
        <w:rPr>
          <w:rFonts w:ascii="Sylfaen" w:hAnsi="Sylfaen"/>
          <w:sz w:val="16"/>
          <w:szCs w:val="16"/>
          <w:lang w:val="hy-AM"/>
        </w:rPr>
        <w:t>Փաստ</w:t>
      </w:r>
      <w:r w:rsidR="00861A68">
        <w:rPr>
          <w:rFonts w:ascii="Sylfaen" w:hAnsi="Sylfaen"/>
          <w:sz w:val="16"/>
          <w:szCs w:val="16"/>
          <w:lang w:val="en-US"/>
        </w:rPr>
        <w:t>աթուղթ</w:t>
      </w:r>
      <w:r w:rsidRPr="00971E5B">
        <w:rPr>
          <w:sz w:val="16"/>
          <w:szCs w:val="16"/>
        </w:rPr>
        <w:t xml:space="preserve">. 13730, </w:t>
      </w:r>
      <w:r w:rsidRPr="00971E5B">
        <w:rPr>
          <w:rFonts w:ascii="Sylfaen" w:hAnsi="Sylfaen" w:cs="Sylfaen"/>
          <w:sz w:val="16"/>
          <w:szCs w:val="16"/>
        </w:rPr>
        <w:t>Սոցիալական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հարցերի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կոմիտեի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զեկույցը</w:t>
      </w:r>
      <w:r w:rsidRPr="00971E5B">
        <w:rPr>
          <w:sz w:val="16"/>
          <w:szCs w:val="16"/>
        </w:rPr>
        <w:t xml:space="preserve">, </w:t>
      </w:r>
      <w:r w:rsidRPr="00971E5B">
        <w:rPr>
          <w:rFonts w:ascii="Sylfaen" w:hAnsi="Sylfaen" w:cs="Sylfaen"/>
          <w:sz w:val="16"/>
          <w:szCs w:val="16"/>
        </w:rPr>
        <w:t>Առողջություն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և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կայուն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զարգացում</w:t>
      </w:r>
      <w:r w:rsidRPr="00971E5B">
        <w:rPr>
          <w:sz w:val="16"/>
          <w:szCs w:val="16"/>
        </w:rPr>
        <w:t xml:space="preserve">, </w:t>
      </w:r>
      <w:r w:rsidRPr="00971E5B">
        <w:rPr>
          <w:rFonts w:ascii="Sylfaen" w:hAnsi="Sylfaen" w:cs="Sylfaen"/>
          <w:sz w:val="16"/>
          <w:szCs w:val="16"/>
        </w:rPr>
        <w:t>զեկուցող՝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տկն</w:t>
      </w:r>
      <w:r w:rsidRPr="00971E5B">
        <w:rPr>
          <w:sz w:val="16"/>
          <w:szCs w:val="16"/>
        </w:rPr>
        <w:t xml:space="preserve">. </w:t>
      </w:r>
      <w:r w:rsidRPr="00971E5B">
        <w:rPr>
          <w:rFonts w:ascii="Sylfaen" w:hAnsi="Sylfaen" w:cs="Sylfaen"/>
          <w:sz w:val="16"/>
          <w:szCs w:val="16"/>
        </w:rPr>
        <w:t>Օլգա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Բորզովա</w:t>
      </w:r>
      <w:r w:rsidRPr="00971E5B">
        <w:rPr>
          <w:sz w:val="16"/>
          <w:szCs w:val="16"/>
        </w:rPr>
        <w:t xml:space="preserve">, </w:t>
      </w:r>
      <w:r w:rsidRPr="00971E5B">
        <w:rPr>
          <w:rFonts w:ascii="Sylfaen" w:hAnsi="Sylfaen" w:cs="Sylfaen"/>
          <w:sz w:val="16"/>
          <w:szCs w:val="16"/>
        </w:rPr>
        <w:t>և</w:t>
      </w:r>
      <w:r w:rsidRPr="00971E5B">
        <w:rPr>
          <w:sz w:val="16"/>
          <w:szCs w:val="16"/>
        </w:rPr>
        <w:t xml:space="preserve"> </w:t>
      </w:r>
      <w:r w:rsidR="00BE113C">
        <w:rPr>
          <w:rFonts w:ascii="Sylfaen" w:hAnsi="Sylfaen"/>
          <w:sz w:val="16"/>
          <w:szCs w:val="16"/>
          <w:lang w:val="hy-AM"/>
        </w:rPr>
        <w:t>Փաստ</w:t>
      </w:r>
      <w:r w:rsidRPr="00971E5B">
        <w:rPr>
          <w:sz w:val="16"/>
          <w:szCs w:val="16"/>
        </w:rPr>
        <w:t xml:space="preserve">. 13760, </w:t>
      </w:r>
      <w:r w:rsidRPr="00971E5B">
        <w:rPr>
          <w:rFonts w:ascii="Sylfaen" w:hAnsi="Sylfaen" w:cs="Sylfaen"/>
          <w:sz w:val="16"/>
          <w:szCs w:val="16"/>
        </w:rPr>
        <w:t>Իրավական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հարցերի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և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մարդու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իրավունքների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կոմիտեի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կարծիքը</w:t>
      </w:r>
      <w:r w:rsidRPr="00971E5B">
        <w:rPr>
          <w:sz w:val="16"/>
          <w:szCs w:val="16"/>
        </w:rPr>
        <w:t xml:space="preserve">, </w:t>
      </w:r>
      <w:r w:rsidRPr="00971E5B">
        <w:rPr>
          <w:rFonts w:ascii="Sylfaen" w:hAnsi="Sylfaen" w:cs="Sylfaen"/>
          <w:sz w:val="16"/>
          <w:szCs w:val="16"/>
        </w:rPr>
        <w:t>զեկուցող՝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տկն</w:t>
      </w:r>
      <w:r w:rsidRPr="00971E5B">
        <w:rPr>
          <w:sz w:val="16"/>
          <w:szCs w:val="16"/>
        </w:rPr>
        <w:t xml:space="preserve">. </w:t>
      </w:r>
      <w:r w:rsidRPr="00971E5B">
        <w:rPr>
          <w:rFonts w:ascii="Sylfaen" w:hAnsi="Sylfaen" w:cs="Sylfaen"/>
          <w:sz w:val="16"/>
          <w:szCs w:val="16"/>
        </w:rPr>
        <w:t>Օլենա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Սոտնյուկ</w:t>
      </w:r>
      <w:r w:rsidRPr="00971E5B">
        <w:rPr>
          <w:sz w:val="16"/>
          <w:szCs w:val="16"/>
        </w:rPr>
        <w:t>)</w:t>
      </w:r>
      <w:r w:rsidRPr="00971E5B">
        <w:rPr>
          <w:rFonts w:ascii="Tahoma" w:hAnsi="Tahoma" w:cs="Tahoma"/>
          <w:sz w:val="16"/>
          <w:szCs w:val="16"/>
        </w:rPr>
        <w:t>։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Տեքստն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ընդունվել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է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Վեհաժողովի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կողմից</w:t>
      </w:r>
      <w:r w:rsidRPr="00971E5B">
        <w:rPr>
          <w:sz w:val="16"/>
          <w:szCs w:val="16"/>
        </w:rPr>
        <w:t xml:space="preserve">  2015</w:t>
      </w:r>
      <w:r w:rsidRPr="00971E5B">
        <w:rPr>
          <w:rFonts w:ascii="Sylfaen" w:hAnsi="Sylfaen" w:cs="Sylfaen"/>
          <w:sz w:val="16"/>
          <w:szCs w:val="16"/>
        </w:rPr>
        <w:t>թ</w:t>
      </w:r>
      <w:r w:rsidRPr="00971E5B">
        <w:rPr>
          <w:sz w:val="16"/>
          <w:szCs w:val="16"/>
        </w:rPr>
        <w:t xml:space="preserve">. </w:t>
      </w:r>
      <w:r w:rsidRPr="00971E5B">
        <w:rPr>
          <w:rFonts w:ascii="Sylfaen" w:hAnsi="Sylfaen" w:cs="Sylfaen"/>
          <w:sz w:val="16"/>
          <w:szCs w:val="16"/>
        </w:rPr>
        <w:t>ապրիլի</w:t>
      </w:r>
      <w:r w:rsidRPr="00971E5B">
        <w:rPr>
          <w:sz w:val="16"/>
          <w:szCs w:val="16"/>
        </w:rPr>
        <w:t xml:space="preserve"> 22-</w:t>
      </w:r>
      <w:r w:rsidRPr="00971E5B">
        <w:rPr>
          <w:rFonts w:ascii="Sylfaen" w:hAnsi="Sylfaen" w:cs="Sylfaen"/>
          <w:sz w:val="16"/>
          <w:szCs w:val="16"/>
        </w:rPr>
        <w:t>ին</w:t>
      </w:r>
      <w:r w:rsidRPr="00971E5B">
        <w:rPr>
          <w:sz w:val="16"/>
          <w:szCs w:val="16"/>
        </w:rPr>
        <w:t>, (15-</w:t>
      </w:r>
      <w:r w:rsidRPr="00971E5B">
        <w:rPr>
          <w:rFonts w:ascii="Sylfaen" w:hAnsi="Sylfaen" w:cs="Sylfaen"/>
          <w:sz w:val="16"/>
          <w:szCs w:val="16"/>
        </w:rPr>
        <w:t>րդ</w:t>
      </w:r>
      <w:r w:rsidRPr="00971E5B">
        <w:rPr>
          <w:sz w:val="16"/>
          <w:szCs w:val="16"/>
        </w:rPr>
        <w:t xml:space="preserve"> </w:t>
      </w:r>
      <w:r w:rsidRPr="00971E5B">
        <w:rPr>
          <w:rFonts w:ascii="Sylfaen" w:hAnsi="Sylfaen" w:cs="Sylfaen"/>
          <w:sz w:val="16"/>
          <w:szCs w:val="16"/>
        </w:rPr>
        <w:t>նստաշրջան</w:t>
      </w:r>
      <w:r w:rsidRPr="00971E5B">
        <w:rPr>
          <w:sz w:val="16"/>
          <w:szCs w:val="16"/>
        </w:rPr>
        <w:t>)</w:t>
      </w:r>
      <w:r w:rsidRPr="00971E5B">
        <w:rPr>
          <w:rFonts w:ascii="Tahoma" w:hAnsi="Tahoma" w:cs="Tahoma"/>
          <w:sz w:val="16"/>
          <w:szCs w:val="16"/>
        </w:rPr>
        <w:t>։</w:t>
      </w:r>
      <w:r w:rsidRPr="00971E5B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11" w:rsidRPr="00CD20D5" w:rsidRDefault="00DC6311" w:rsidP="00D36BD2">
    <w:pPr>
      <w:pStyle w:val="Header"/>
      <w:jc w:val="right"/>
      <w:rPr>
        <w:rFonts w:ascii="Sylfaen" w:hAnsi="Sylfaen"/>
        <w:lang w:val="en-US"/>
      </w:rPr>
    </w:pPr>
    <w:proofErr w:type="spellStart"/>
    <w:r>
      <w:rPr>
        <w:rFonts w:ascii="Sylfaen" w:hAnsi="Sylfaen"/>
        <w:lang w:val="en-US"/>
      </w:rPr>
      <w:t>Եվրոպայի</w:t>
    </w:r>
    <w:proofErr w:type="spellEnd"/>
    <w:r>
      <w:rPr>
        <w:rFonts w:ascii="Sylfaen" w:hAnsi="Sylfaen"/>
        <w:lang w:val="en-US"/>
      </w:rPr>
      <w:t xml:space="preserve"> </w:t>
    </w:r>
    <w:proofErr w:type="spellStart"/>
    <w:r>
      <w:rPr>
        <w:rFonts w:ascii="Sylfaen" w:hAnsi="Sylfaen"/>
        <w:lang w:val="en-US"/>
      </w:rPr>
      <w:t>խորհրդի</w:t>
    </w:r>
    <w:proofErr w:type="spellEnd"/>
    <w:r>
      <w:rPr>
        <w:rFonts w:ascii="Sylfaen" w:hAnsi="Sylfaen"/>
        <w:lang w:val="en-US"/>
      </w:rPr>
      <w:t xml:space="preserve"> </w:t>
    </w:r>
    <w:proofErr w:type="spellStart"/>
    <w:r>
      <w:rPr>
        <w:rFonts w:ascii="Sylfaen" w:hAnsi="Sylfaen"/>
        <w:lang w:val="en-US"/>
      </w:rPr>
      <w:t>Խորհրդարանական</w:t>
    </w:r>
    <w:proofErr w:type="spellEnd"/>
    <w:r>
      <w:rPr>
        <w:rFonts w:ascii="Sylfaen" w:hAnsi="Sylfaen"/>
        <w:lang w:val="en-US"/>
      </w:rPr>
      <w:t xml:space="preserve"> </w:t>
    </w:r>
    <w:proofErr w:type="spellStart"/>
    <w:r w:rsidR="00D36BD2">
      <w:rPr>
        <w:rFonts w:ascii="Sylfaen" w:hAnsi="Sylfaen"/>
        <w:lang w:val="en-US"/>
      </w:rPr>
      <w:t>վեհաժողով</w:t>
    </w:r>
    <w:proofErr w:type="spellEnd"/>
    <w:r w:rsidR="00D36BD2">
      <w:rPr>
        <w:rFonts w:ascii="Sylfaen" w:hAnsi="Sylfaen"/>
        <w:lang w:val="en-US"/>
      </w:rPr>
      <w:t xml:space="preserve">      </w:t>
    </w:r>
    <w:proofErr w:type="spellStart"/>
    <w:r w:rsidR="00D36BD2">
      <w:rPr>
        <w:rFonts w:ascii="Sylfaen" w:hAnsi="Sylfaen"/>
        <w:lang w:val="en-US"/>
      </w:rPr>
      <w:t>Ոչ</w:t>
    </w:r>
    <w:proofErr w:type="spellEnd"/>
    <w:r w:rsidR="00D36BD2">
      <w:rPr>
        <w:rFonts w:ascii="Sylfaen" w:hAnsi="Sylfaen"/>
        <w:lang w:val="en-US"/>
      </w:rPr>
      <w:t xml:space="preserve"> </w:t>
    </w:r>
    <w:proofErr w:type="spellStart"/>
    <w:r w:rsidR="00D36BD2">
      <w:rPr>
        <w:rFonts w:ascii="Sylfaen" w:hAnsi="Sylfaen"/>
        <w:lang w:val="en-US"/>
      </w:rPr>
      <w:t>պաշտոնական</w:t>
    </w:r>
    <w:proofErr w:type="spellEnd"/>
    <w:r w:rsidR="00D36BD2">
      <w:rPr>
        <w:rFonts w:ascii="Sylfaen" w:hAnsi="Sylfaen"/>
        <w:lang w:val="en-US"/>
      </w:rPr>
      <w:t xml:space="preserve"> </w:t>
    </w:r>
    <w:proofErr w:type="spellStart"/>
    <w:r w:rsidR="00D36BD2">
      <w:rPr>
        <w:rFonts w:ascii="Sylfaen" w:hAnsi="Sylfaen"/>
        <w:lang w:val="en-US"/>
      </w:rPr>
      <w:t>թարգմանություն</w:t>
    </w:r>
    <w:proofErr w:type="spellEnd"/>
    <w:r w:rsidR="00CE0A3D">
      <w:rPr>
        <w:rFonts w:ascii="Sylfaen" w:hAnsi="Sylfae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31980"/>
    <w:rsid w:val="00074808"/>
    <w:rsid w:val="000C0877"/>
    <w:rsid w:val="001E355B"/>
    <w:rsid w:val="002B256A"/>
    <w:rsid w:val="002B4F1D"/>
    <w:rsid w:val="00331980"/>
    <w:rsid w:val="00350583"/>
    <w:rsid w:val="003610A6"/>
    <w:rsid w:val="00383890"/>
    <w:rsid w:val="0043392B"/>
    <w:rsid w:val="0044197A"/>
    <w:rsid w:val="00454148"/>
    <w:rsid w:val="00475084"/>
    <w:rsid w:val="004D6392"/>
    <w:rsid w:val="005459FD"/>
    <w:rsid w:val="006147AA"/>
    <w:rsid w:val="006951DA"/>
    <w:rsid w:val="00861A68"/>
    <w:rsid w:val="00865FE3"/>
    <w:rsid w:val="00886DE5"/>
    <w:rsid w:val="00896171"/>
    <w:rsid w:val="008B78FF"/>
    <w:rsid w:val="008D43DC"/>
    <w:rsid w:val="009310C8"/>
    <w:rsid w:val="0094384F"/>
    <w:rsid w:val="00946510"/>
    <w:rsid w:val="00971E5B"/>
    <w:rsid w:val="009E6DE5"/>
    <w:rsid w:val="009F6E9E"/>
    <w:rsid w:val="00A0166F"/>
    <w:rsid w:val="00A64CE9"/>
    <w:rsid w:val="00AB6126"/>
    <w:rsid w:val="00B455A8"/>
    <w:rsid w:val="00BE113C"/>
    <w:rsid w:val="00C05750"/>
    <w:rsid w:val="00C35BE8"/>
    <w:rsid w:val="00C625D8"/>
    <w:rsid w:val="00CC376D"/>
    <w:rsid w:val="00CC6D32"/>
    <w:rsid w:val="00CD20D5"/>
    <w:rsid w:val="00CE0A3D"/>
    <w:rsid w:val="00D36BD2"/>
    <w:rsid w:val="00DC6311"/>
    <w:rsid w:val="00DE0DA0"/>
    <w:rsid w:val="00DF2C62"/>
    <w:rsid w:val="00E46157"/>
    <w:rsid w:val="00ED1024"/>
    <w:rsid w:val="00EF2821"/>
    <w:rsid w:val="00F305B5"/>
    <w:rsid w:val="00F6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E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E5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71E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E5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1E5B"/>
    <w:rPr>
      <w:vertAlign w:val="superscript"/>
    </w:rPr>
  </w:style>
  <w:style w:type="paragraph" w:styleId="Revision">
    <w:name w:val="Revision"/>
    <w:hidden/>
    <w:uiPriority w:val="99"/>
    <w:semiHidden/>
    <w:rsid w:val="00D36BD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5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E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E5B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71E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E5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1E5B"/>
    <w:rPr>
      <w:vertAlign w:val="superscript"/>
    </w:rPr>
  </w:style>
  <w:style w:type="paragraph" w:styleId="Revision">
    <w:name w:val="Revision"/>
    <w:hidden/>
    <w:uiPriority w:val="99"/>
    <w:semiHidden/>
    <w:rsid w:val="00D36BD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D5FB-5ABF-4287-8357-12DE2DAF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narine.bezirganyan</cp:lastModifiedBy>
  <cp:revision>2</cp:revision>
  <dcterms:created xsi:type="dcterms:W3CDTF">2015-06-12T07:02:00Z</dcterms:created>
  <dcterms:modified xsi:type="dcterms:W3CDTF">2015-06-12T07:02:00Z</dcterms:modified>
</cp:coreProperties>
</file>